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82" w:rsidRDefault="009C459D">
      <w:pPr>
        <w:rPr>
          <w:b/>
          <w:sz w:val="28"/>
          <w:szCs w:val="28"/>
        </w:rPr>
      </w:pPr>
      <w:bookmarkStart w:id="0" w:name="_GoBack"/>
      <w:bookmarkEnd w:id="0"/>
      <w:r w:rsidRPr="009C459D">
        <w:rPr>
          <w:b/>
          <w:sz w:val="28"/>
          <w:szCs w:val="28"/>
        </w:rPr>
        <w:t>Schulcurriculum Englisch Oberstufe</w:t>
      </w:r>
      <w:r w:rsidR="00AF7E47">
        <w:rPr>
          <w:b/>
          <w:sz w:val="28"/>
          <w:szCs w:val="28"/>
        </w:rPr>
        <w:t xml:space="preserve"> – Qualifikationsphase</w:t>
      </w:r>
    </w:p>
    <w:p w:rsidR="0030356C" w:rsidRDefault="009C459D" w:rsidP="003035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Grundlage für das Schulcurriculum Englisch am Gymnasium Andreanum ist das 2017 verabschiedete „Kerncurriculum für das Gymnasium – gymnasiale Oberstufe“. Das Kerncurriculum kann vom Niedersächsischen Bildungsserver NIBIS unter </w:t>
      </w:r>
    </w:p>
    <w:p w:rsidR="009C459D" w:rsidRDefault="009C459D" w:rsidP="0030356C">
      <w:pPr>
        <w:rPr>
          <w:sz w:val="24"/>
          <w:szCs w:val="24"/>
        </w:rPr>
      </w:pPr>
      <w:r>
        <w:rPr>
          <w:sz w:val="24"/>
          <w:szCs w:val="24"/>
        </w:rPr>
        <w:t xml:space="preserve">http:// www. cuvo. nibis.de heruntergeladen werden. </w:t>
      </w:r>
    </w:p>
    <w:p w:rsidR="00AE4D65" w:rsidRDefault="00AE4D65" w:rsidP="0030356C">
      <w:pPr>
        <w:rPr>
          <w:sz w:val="24"/>
          <w:szCs w:val="24"/>
        </w:rPr>
      </w:pPr>
    </w:p>
    <w:p w:rsidR="0030356C" w:rsidRPr="0030356C" w:rsidRDefault="0030356C">
      <w:pPr>
        <w:rPr>
          <w:b/>
          <w:sz w:val="24"/>
          <w:szCs w:val="24"/>
        </w:rPr>
      </w:pPr>
      <w:r w:rsidRPr="0030356C">
        <w:rPr>
          <w:b/>
          <w:sz w:val="24"/>
          <w:szCs w:val="24"/>
        </w:rPr>
        <w:t>Kompetenzorientierung</w:t>
      </w:r>
    </w:p>
    <w:p w:rsidR="009C459D" w:rsidRDefault="009C459D">
      <w:pPr>
        <w:rPr>
          <w:sz w:val="24"/>
          <w:szCs w:val="24"/>
        </w:rPr>
      </w:pPr>
      <w:r>
        <w:rPr>
          <w:sz w:val="24"/>
          <w:szCs w:val="24"/>
        </w:rPr>
        <w:t xml:space="preserve">Wie in der Sekundarstufe 1 erfolgt auch der Unterricht in der Oberstufe kompetenzorientiert. </w:t>
      </w:r>
      <w:r w:rsidR="003A1532">
        <w:rPr>
          <w:sz w:val="24"/>
          <w:szCs w:val="24"/>
        </w:rPr>
        <w:t>Die zu erwerbenden Kompetenzen sind:</w:t>
      </w:r>
    </w:p>
    <w:p w:rsidR="003A1532" w:rsidRPr="0030356C" w:rsidRDefault="003A1532" w:rsidP="0030356C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30356C">
        <w:rPr>
          <w:sz w:val="24"/>
          <w:szCs w:val="24"/>
        </w:rPr>
        <w:t>Funktionale Kompetenz</w:t>
      </w:r>
    </w:p>
    <w:p w:rsidR="003A1532" w:rsidRPr="0030356C" w:rsidRDefault="003A1532" w:rsidP="0030356C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30356C">
        <w:rPr>
          <w:sz w:val="24"/>
          <w:szCs w:val="24"/>
        </w:rPr>
        <w:t>Interkulturelle kommunikative Kompetenz</w:t>
      </w:r>
    </w:p>
    <w:p w:rsidR="003A1532" w:rsidRPr="0030356C" w:rsidRDefault="003A1532" w:rsidP="0030356C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30356C">
        <w:rPr>
          <w:sz w:val="24"/>
          <w:szCs w:val="24"/>
        </w:rPr>
        <w:t>Text- und Medienkompetenz</w:t>
      </w:r>
    </w:p>
    <w:p w:rsidR="003A1532" w:rsidRPr="0030356C" w:rsidRDefault="003A1532" w:rsidP="0030356C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30356C">
        <w:rPr>
          <w:sz w:val="24"/>
          <w:szCs w:val="24"/>
        </w:rPr>
        <w:t>Sprachbewusstsein</w:t>
      </w:r>
    </w:p>
    <w:p w:rsidR="003A1532" w:rsidRPr="0030356C" w:rsidRDefault="003A1532" w:rsidP="0030356C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30356C">
        <w:rPr>
          <w:sz w:val="24"/>
          <w:szCs w:val="24"/>
        </w:rPr>
        <w:t>Sprachlernkompetenz</w:t>
      </w:r>
    </w:p>
    <w:p w:rsidR="003A1532" w:rsidRDefault="003A1532">
      <w:pPr>
        <w:rPr>
          <w:sz w:val="24"/>
          <w:szCs w:val="24"/>
        </w:rPr>
      </w:pPr>
      <w:r>
        <w:rPr>
          <w:sz w:val="24"/>
          <w:szCs w:val="24"/>
        </w:rPr>
        <w:t>Die beiden letztgenannten Kompetenzen haben im Vergleich zu  dem bisher gültigen Curriculum einen höheren Stellenwert</w:t>
      </w:r>
      <w:r w:rsidR="00AE4D65">
        <w:rPr>
          <w:sz w:val="24"/>
          <w:szCs w:val="24"/>
        </w:rPr>
        <w:t xml:space="preserve"> erhalten</w:t>
      </w:r>
      <w:r>
        <w:rPr>
          <w:sz w:val="24"/>
          <w:szCs w:val="24"/>
        </w:rPr>
        <w:t>.</w:t>
      </w:r>
    </w:p>
    <w:p w:rsidR="00AE4D65" w:rsidRDefault="00AE4D65">
      <w:pPr>
        <w:rPr>
          <w:sz w:val="24"/>
          <w:szCs w:val="24"/>
        </w:rPr>
      </w:pPr>
    </w:p>
    <w:p w:rsidR="0030356C" w:rsidRPr="0030356C" w:rsidRDefault="0030356C">
      <w:pPr>
        <w:rPr>
          <w:b/>
          <w:sz w:val="24"/>
          <w:szCs w:val="24"/>
        </w:rPr>
      </w:pPr>
      <w:r>
        <w:rPr>
          <w:b/>
          <w:sz w:val="24"/>
          <w:szCs w:val="24"/>
        </w:rPr>
        <w:t>Umfang und Ausrichtung der Anforderungsniveaus</w:t>
      </w:r>
    </w:p>
    <w:p w:rsidR="003A1532" w:rsidRDefault="003A1532">
      <w:pPr>
        <w:rPr>
          <w:sz w:val="24"/>
          <w:szCs w:val="24"/>
        </w:rPr>
      </w:pPr>
      <w:r>
        <w:rPr>
          <w:sz w:val="24"/>
          <w:szCs w:val="24"/>
        </w:rPr>
        <w:t xml:space="preserve">Das Fach Englisch wird ab dem Abiturjahrgang 2021 in der gymnasialen Oberstufe </w:t>
      </w:r>
    </w:p>
    <w:p w:rsidR="003A1532" w:rsidRDefault="003A1532" w:rsidP="003A153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A1532">
        <w:rPr>
          <w:sz w:val="24"/>
          <w:szCs w:val="24"/>
        </w:rPr>
        <w:t>als fünfstündiges Prüfungsfach</w:t>
      </w:r>
      <w:r>
        <w:rPr>
          <w:sz w:val="24"/>
          <w:szCs w:val="24"/>
        </w:rPr>
        <w:t xml:space="preserve"> auf erhöhtem Anforderungsniveau,</w:t>
      </w:r>
    </w:p>
    <w:p w:rsidR="003A1532" w:rsidRDefault="003A1532" w:rsidP="003A153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dreistündiges Prüfungsfach auf grundlegendem Anforderungsniveau oder</w:t>
      </w:r>
    </w:p>
    <w:p w:rsidR="00AE4D65" w:rsidRDefault="003A1532" w:rsidP="003A153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als dreistündiges Unterrichtsfach auf grundlegendem Anforderungsniveau</w:t>
      </w:r>
    </w:p>
    <w:p w:rsidR="00AE4D65" w:rsidRDefault="00AE4D65" w:rsidP="00AE4D65">
      <w:pPr>
        <w:spacing w:after="0"/>
        <w:rPr>
          <w:sz w:val="24"/>
          <w:szCs w:val="24"/>
        </w:rPr>
      </w:pPr>
      <w:r w:rsidRPr="00AE4D65">
        <w:rPr>
          <w:sz w:val="24"/>
          <w:szCs w:val="24"/>
        </w:rPr>
        <w:t>unterrichtet.</w:t>
      </w:r>
      <w:r w:rsidR="003A1532" w:rsidRPr="00AE4D65">
        <w:rPr>
          <w:sz w:val="24"/>
          <w:szCs w:val="24"/>
        </w:rPr>
        <w:t xml:space="preserve"> </w:t>
      </w:r>
    </w:p>
    <w:p w:rsidR="003A1532" w:rsidRDefault="003A1532" w:rsidP="00AE4D65">
      <w:pPr>
        <w:rPr>
          <w:sz w:val="24"/>
          <w:szCs w:val="24"/>
        </w:rPr>
      </w:pPr>
      <w:r>
        <w:rPr>
          <w:sz w:val="24"/>
          <w:szCs w:val="24"/>
        </w:rPr>
        <w:t>Beiden Anforderungsniveaus gemeinsam ist die Vermittlung einer sprachlichen, methodischen und inhaltlichen Grundbildung</w:t>
      </w:r>
      <w:r w:rsidR="00A13FAB">
        <w:rPr>
          <w:sz w:val="24"/>
          <w:szCs w:val="24"/>
        </w:rPr>
        <w:t>, die zu einem sicheren und hinreichend differenzierten Gebrauch des Englischen führt</w:t>
      </w:r>
      <w:r>
        <w:rPr>
          <w:sz w:val="24"/>
          <w:szCs w:val="24"/>
        </w:rPr>
        <w:t xml:space="preserve">. </w:t>
      </w:r>
      <w:r w:rsidR="00A13FAB">
        <w:rPr>
          <w:sz w:val="24"/>
          <w:szCs w:val="24"/>
        </w:rPr>
        <w:t>Diese Grundbildung trägt zur Diskurs- und Reflexionsfähigkeit im Englischen bei. Die beiden Anforderungsniveaus</w:t>
      </w:r>
      <w:r>
        <w:rPr>
          <w:sz w:val="24"/>
          <w:szCs w:val="24"/>
        </w:rPr>
        <w:t xml:space="preserve"> unterscheiden sich aber hinsichtlich der Differenziertheit der Sprachverwendung und der Schwerpunkte, der Breite und Tiefe der Themen, der Komplexität und des Abstrak</w:t>
      </w:r>
      <w:r w:rsidR="00E21E61">
        <w:rPr>
          <w:sz w:val="24"/>
          <w:szCs w:val="24"/>
        </w:rPr>
        <w:t>t</w:t>
      </w:r>
      <w:r>
        <w:rPr>
          <w:sz w:val="24"/>
          <w:szCs w:val="24"/>
        </w:rPr>
        <w:t>heitsgrades von Texten und Aufgaben und des Grades de</w:t>
      </w:r>
      <w:r w:rsidR="00E21E61">
        <w:rPr>
          <w:sz w:val="24"/>
          <w:szCs w:val="24"/>
        </w:rPr>
        <w:t>r geforderten Selbstständigkeit (vgl. Kerncurriculum S. 9 – 10).</w:t>
      </w:r>
      <w:r w:rsidR="00A13FAB">
        <w:rPr>
          <w:sz w:val="24"/>
          <w:szCs w:val="24"/>
        </w:rPr>
        <w:t xml:space="preserve"> </w:t>
      </w:r>
      <w:r w:rsidR="00DB5141">
        <w:rPr>
          <w:sz w:val="24"/>
          <w:szCs w:val="24"/>
        </w:rPr>
        <w:t>Das für die eA-Kurse anzustrebende Niveau entspricht der Kompetenzstufe C1 des gemeinsamen europäischen Referenzrahmens für Sprachen. Das für gA-Kurse anzustrebende Niveau entspricht der Kompetenzstufe B2.</w:t>
      </w:r>
    </w:p>
    <w:p w:rsidR="00DB5141" w:rsidRDefault="00DB5141" w:rsidP="003A1532">
      <w:pPr>
        <w:pStyle w:val="Listenabsatz"/>
        <w:ind w:left="0"/>
        <w:rPr>
          <w:sz w:val="24"/>
          <w:szCs w:val="24"/>
        </w:rPr>
      </w:pPr>
    </w:p>
    <w:p w:rsidR="00DB5141" w:rsidRDefault="00DB5141" w:rsidP="00DB5141">
      <w:pPr>
        <w:pStyle w:val="Listenabsatz"/>
        <w:spacing w:before="240"/>
        <w:ind w:left="0"/>
        <w:rPr>
          <w:b/>
          <w:sz w:val="24"/>
          <w:szCs w:val="24"/>
        </w:rPr>
      </w:pPr>
      <w:r w:rsidRPr="00DB5141">
        <w:rPr>
          <w:b/>
          <w:sz w:val="24"/>
          <w:szCs w:val="24"/>
        </w:rPr>
        <w:lastRenderedPageBreak/>
        <w:t>Thematische Grundlage</w:t>
      </w:r>
    </w:p>
    <w:p w:rsidR="00AE4D65" w:rsidRPr="00DB5141" w:rsidRDefault="00AE4D65" w:rsidP="00EF446D">
      <w:pPr>
        <w:pStyle w:val="Listenabsatz"/>
        <w:spacing w:before="240" w:line="240" w:lineRule="auto"/>
        <w:ind w:left="0"/>
        <w:rPr>
          <w:b/>
          <w:sz w:val="24"/>
          <w:szCs w:val="24"/>
        </w:rPr>
      </w:pPr>
    </w:p>
    <w:p w:rsidR="00AF7E47" w:rsidRDefault="00EE1BA3" w:rsidP="003A1532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Die Basis </w:t>
      </w:r>
      <w:r w:rsidR="00AF7E47">
        <w:rPr>
          <w:sz w:val="24"/>
          <w:szCs w:val="24"/>
        </w:rPr>
        <w:t>für die Arbeit in der Oberstufe sind die folgenden gleichbleibenden Themenfelder, die sämtlich in der Qualifikationsphase zu berücksichtigen sind:</w:t>
      </w:r>
    </w:p>
    <w:p w:rsidR="00AE4D65" w:rsidRDefault="00AE4D65" w:rsidP="003A1532">
      <w:pPr>
        <w:pStyle w:val="Listenabsatz"/>
        <w:ind w:left="0"/>
        <w:rPr>
          <w:sz w:val="24"/>
          <w:szCs w:val="24"/>
        </w:rPr>
      </w:pPr>
    </w:p>
    <w:p w:rsidR="00AE4D65" w:rsidRDefault="00AE4D65" w:rsidP="003A1532">
      <w:pPr>
        <w:pStyle w:val="Listenabsatz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263200" cy="4572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1ED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D65" w:rsidRPr="00AE4D65" w:rsidRDefault="00AE4D65" w:rsidP="003A1532">
      <w:pPr>
        <w:pStyle w:val="Listenabsatz"/>
        <w:ind w:left="0"/>
        <w:rPr>
          <w:sz w:val="14"/>
          <w:szCs w:val="14"/>
        </w:rPr>
      </w:pPr>
      <w:r w:rsidRPr="00AE4D65">
        <w:rPr>
          <w:sz w:val="14"/>
          <w:szCs w:val="14"/>
        </w:rPr>
        <w:t>Quelle: http://db2.nibis.de/1db/cuvo/datei/en_go_kc_druck_2017.pdf, Zugriff 26.6.</w:t>
      </w:r>
      <w:r>
        <w:rPr>
          <w:sz w:val="14"/>
          <w:szCs w:val="14"/>
        </w:rPr>
        <w:t>20</w:t>
      </w:r>
      <w:r w:rsidRPr="00AE4D65">
        <w:rPr>
          <w:sz w:val="14"/>
          <w:szCs w:val="14"/>
        </w:rPr>
        <w:t>18, 14.00Uhr</w:t>
      </w:r>
    </w:p>
    <w:p w:rsidR="00AE4D65" w:rsidRDefault="00AE4D65" w:rsidP="003A1532">
      <w:pPr>
        <w:pStyle w:val="Listenabsatz"/>
        <w:ind w:left="0"/>
        <w:rPr>
          <w:sz w:val="24"/>
          <w:szCs w:val="24"/>
        </w:rPr>
      </w:pPr>
    </w:p>
    <w:p w:rsidR="00AF7E47" w:rsidRDefault="00AF7E47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Innerhalb dieser Themenfelder sind die für den jeweiligen Abiturjahrgang vorgegebenen Materialien zu behandeln, die in den „Hinweisen zum Abitur“ </w:t>
      </w:r>
      <w:r w:rsidR="00BF1D27">
        <w:rPr>
          <w:sz w:val="24"/>
          <w:szCs w:val="24"/>
        </w:rPr>
        <w:t xml:space="preserve">bei NIBIS </w:t>
      </w:r>
      <w:r>
        <w:rPr>
          <w:sz w:val="24"/>
          <w:szCs w:val="24"/>
        </w:rPr>
        <w:t>veröffentlicht werden. Diese Materialien umfassen i.d.R. Romane, Kurzgeschichten, Lyrik, Lieder, Filme und Sachtexte.</w:t>
      </w:r>
    </w:p>
    <w:p w:rsidR="00BF1D27" w:rsidRDefault="0014286D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Die Semesterthemen und die Zuordnung der zu behandelnden Materialien zu den einzelnen Kurshalbjahren werden für die eA-Kurse von der Fachkonferenz festgelegt.</w:t>
      </w:r>
    </w:p>
    <w:p w:rsidR="00EE1BA3" w:rsidRDefault="00EE1BA3" w:rsidP="00AF7E47">
      <w:pPr>
        <w:pStyle w:val="Listenabsatz"/>
        <w:ind w:left="0"/>
        <w:rPr>
          <w:sz w:val="24"/>
          <w:szCs w:val="24"/>
        </w:rPr>
      </w:pPr>
    </w:p>
    <w:p w:rsidR="00EF446D" w:rsidRDefault="00EF446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1D27" w:rsidRDefault="00BF1D27" w:rsidP="00AF7E47">
      <w:pPr>
        <w:pStyle w:val="Listenabsatz"/>
        <w:ind w:left="0"/>
        <w:rPr>
          <w:b/>
          <w:sz w:val="24"/>
          <w:szCs w:val="24"/>
        </w:rPr>
      </w:pPr>
      <w:r w:rsidRPr="00BF1D27">
        <w:rPr>
          <w:b/>
          <w:sz w:val="24"/>
          <w:szCs w:val="24"/>
        </w:rPr>
        <w:lastRenderedPageBreak/>
        <w:t>Leistungsfeststellung und Leistungsbewertung</w:t>
      </w:r>
    </w:p>
    <w:p w:rsidR="00EF446D" w:rsidRDefault="00EF446D" w:rsidP="00EF446D">
      <w:pPr>
        <w:pStyle w:val="Listenabsatz"/>
        <w:spacing w:line="240" w:lineRule="auto"/>
        <w:ind w:left="0"/>
        <w:rPr>
          <w:b/>
          <w:sz w:val="24"/>
          <w:szCs w:val="24"/>
        </w:rPr>
      </w:pPr>
    </w:p>
    <w:p w:rsidR="00BF1D27" w:rsidRDefault="00BF1D27" w:rsidP="00EF446D">
      <w:pPr>
        <w:pStyle w:val="Listenabsatz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>Mündliche und schriftliche Mitarbeit werden im vorgegebenen Verhältnis 60 zu 40 gewichtet.</w:t>
      </w:r>
    </w:p>
    <w:p w:rsidR="00BF1D27" w:rsidRDefault="00BF1D27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Anzahl der schriftlichen Leistungskontrollen:</w:t>
      </w:r>
    </w:p>
    <w:p w:rsidR="00BF1D27" w:rsidRDefault="00BF1D27" w:rsidP="00BF1D2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eA-Kurse: 5</w:t>
      </w:r>
    </w:p>
    <w:p w:rsidR="00BF1D27" w:rsidRDefault="00BF1D27" w:rsidP="00BF1D2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gA-Kurse (Prüfungskurse): 5</w:t>
      </w:r>
    </w:p>
    <w:p w:rsidR="00BF1D27" w:rsidRDefault="00BF1D27" w:rsidP="00BF1D27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gA-Kurse (Belegkurse): 4</w:t>
      </w:r>
    </w:p>
    <w:p w:rsidR="00BF1D27" w:rsidRDefault="00BF1D27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Eine der Klausuren kann bei entsprechendem Beschluss </w:t>
      </w:r>
      <w:r w:rsidR="004D7015">
        <w:rPr>
          <w:sz w:val="24"/>
          <w:szCs w:val="24"/>
        </w:rPr>
        <w:t xml:space="preserve">der Fachkonferenz </w:t>
      </w:r>
      <w:r>
        <w:rPr>
          <w:sz w:val="24"/>
          <w:szCs w:val="24"/>
        </w:rPr>
        <w:t>durch eine Sprechprüfung</w:t>
      </w:r>
      <w:r w:rsidR="004D7015">
        <w:rPr>
          <w:sz w:val="24"/>
          <w:szCs w:val="24"/>
        </w:rPr>
        <w:t xml:space="preserve"> ersetzt werden. Dies ist zur Zeit nicht der Fall.</w:t>
      </w:r>
    </w:p>
    <w:p w:rsidR="004D7015" w:rsidRDefault="004D7015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Klausurformate:</w:t>
      </w:r>
    </w:p>
    <w:p w:rsidR="004D7015" w:rsidRDefault="004D7015" w:rsidP="00AF7E47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Für die Klausuren stehen folgende Formate zur Auswahl: </w:t>
      </w:r>
    </w:p>
    <w:p w:rsidR="004D7015" w:rsidRDefault="004D7015" w:rsidP="004D7015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eine textbasierte Schreibaufgabe</w:t>
      </w:r>
    </w:p>
    <w:p w:rsidR="004D7015" w:rsidRDefault="004D7015" w:rsidP="004D7015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eine textbasierte Schreibaufgabe, kombiniert mit einem oder zwei kompetenzorientierten Teilen, z.B. Hörverstehen, Leseverstehen oder Sprachmittlung</w:t>
      </w:r>
    </w:p>
    <w:p w:rsidR="00AF7E47" w:rsidRDefault="004D7015" w:rsidP="004D7015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eine schriftliche Sprachmittlungsaufgabe in die Zielsprache, kombiniert mit der Überprüfung einer rezeptiven Kompetenz, z.B. Hör</w:t>
      </w:r>
      <w:r w:rsidR="0030356C">
        <w:rPr>
          <w:sz w:val="24"/>
          <w:szCs w:val="24"/>
        </w:rPr>
        <w:t>verstehen, Hör-/Sehverstehen</w:t>
      </w:r>
      <w:r>
        <w:rPr>
          <w:sz w:val="24"/>
          <w:szCs w:val="24"/>
        </w:rPr>
        <w:t xml:space="preserve"> oder Leseverstehen</w:t>
      </w:r>
      <w:r w:rsidR="0030356C">
        <w:rPr>
          <w:sz w:val="24"/>
          <w:szCs w:val="24"/>
        </w:rPr>
        <w:t>.</w:t>
      </w:r>
    </w:p>
    <w:p w:rsidR="00EE1BA3" w:rsidRDefault="00EE1BA3" w:rsidP="0030356C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Dabei werden bei textbasierten Schreibaufgaben und schrift</w:t>
      </w:r>
      <w:r w:rsidR="009215D0">
        <w:rPr>
          <w:sz w:val="24"/>
          <w:szCs w:val="24"/>
        </w:rPr>
        <w:t>lichen Sprachmittlungsaufgaben i</w:t>
      </w:r>
      <w:r>
        <w:rPr>
          <w:sz w:val="24"/>
          <w:szCs w:val="24"/>
        </w:rPr>
        <w:t>nhalt</w:t>
      </w:r>
      <w:r w:rsidR="009215D0">
        <w:rPr>
          <w:sz w:val="24"/>
          <w:szCs w:val="24"/>
        </w:rPr>
        <w:t>liche</w:t>
      </w:r>
      <w:r>
        <w:rPr>
          <w:sz w:val="24"/>
          <w:szCs w:val="24"/>
        </w:rPr>
        <w:t xml:space="preserve"> und sprachliche Leistung im Verhältnis 40 zu 60 gewichtet. </w:t>
      </w:r>
    </w:p>
    <w:p w:rsidR="0030356C" w:rsidRPr="004D7015" w:rsidRDefault="0030356C" w:rsidP="0030356C">
      <w:pPr>
        <w:pStyle w:val="Listenabsatz"/>
        <w:ind w:left="0"/>
        <w:rPr>
          <w:sz w:val="24"/>
          <w:szCs w:val="24"/>
        </w:rPr>
      </w:pPr>
      <w:r>
        <w:rPr>
          <w:sz w:val="24"/>
          <w:szCs w:val="24"/>
        </w:rPr>
        <w:t>Alle Kompetenzen, die Gegenstand der schriftlichen Abiturprüfung sind, werden während der Qualifikationsphase in mindestens einer Klausur überprüft.</w:t>
      </w:r>
    </w:p>
    <w:p w:rsidR="009C459D" w:rsidRDefault="009C459D"/>
    <w:sectPr w:rsidR="009C459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5B" w:rsidRDefault="0070445B" w:rsidP="00EE1BA3">
      <w:pPr>
        <w:spacing w:after="0" w:line="240" w:lineRule="auto"/>
      </w:pPr>
      <w:r>
        <w:separator/>
      </w:r>
    </w:p>
  </w:endnote>
  <w:endnote w:type="continuationSeparator" w:id="0">
    <w:p w:rsidR="0070445B" w:rsidRDefault="0070445B" w:rsidP="00EE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07023"/>
      <w:docPartObj>
        <w:docPartGallery w:val="Page Numbers (Bottom of Page)"/>
        <w:docPartUnique/>
      </w:docPartObj>
    </w:sdtPr>
    <w:sdtEndPr/>
    <w:sdtContent>
      <w:p w:rsidR="00EE1BA3" w:rsidRDefault="00EE1B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F32">
          <w:rPr>
            <w:noProof/>
          </w:rPr>
          <w:t>2</w:t>
        </w:r>
        <w:r>
          <w:fldChar w:fldCharType="end"/>
        </w:r>
      </w:p>
    </w:sdtContent>
  </w:sdt>
  <w:p w:rsidR="00EE1BA3" w:rsidRDefault="00EE1B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5B" w:rsidRDefault="0070445B" w:rsidP="00EE1BA3">
      <w:pPr>
        <w:spacing w:after="0" w:line="240" w:lineRule="auto"/>
      </w:pPr>
      <w:r>
        <w:separator/>
      </w:r>
    </w:p>
  </w:footnote>
  <w:footnote w:type="continuationSeparator" w:id="0">
    <w:p w:rsidR="0070445B" w:rsidRDefault="0070445B" w:rsidP="00EE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0EB"/>
    <w:multiLevelType w:val="hybridMultilevel"/>
    <w:tmpl w:val="34620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4E77"/>
    <w:multiLevelType w:val="hybridMultilevel"/>
    <w:tmpl w:val="F18E6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DF1"/>
    <w:multiLevelType w:val="hybridMultilevel"/>
    <w:tmpl w:val="1062B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3644"/>
    <w:multiLevelType w:val="hybridMultilevel"/>
    <w:tmpl w:val="30EC1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46D6A"/>
    <w:multiLevelType w:val="hybridMultilevel"/>
    <w:tmpl w:val="9D22C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EA4"/>
    <w:multiLevelType w:val="hybridMultilevel"/>
    <w:tmpl w:val="029EC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A4"/>
    <w:rsid w:val="0014286D"/>
    <w:rsid w:val="0030356C"/>
    <w:rsid w:val="003A1532"/>
    <w:rsid w:val="004D7015"/>
    <w:rsid w:val="0070445B"/>
    <w:rsid w:val="007C20A4"/>
    <w:rsid w:val="00837282"/>
    <w:rsid w:val="009215D0"/>
    <w:rsid w:val="009C459D"/>
    <w:rsid w:val="00A13FAB"/>
    <w:rsid w:val="00AE4D65"/>
    <w:rsid w:val="00AF7E47"/>
    <w:rsid w:val="00B70F32"/>
    <w:rsid w:val="00BF1D27"/>
    <w:rsid w:val="00DB5141"/>
    <w:rsid w:val="00E21E61"/>
    <w:rsid w:val="00EE1BA3"/>
    <w:rsid w:val="00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1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BA3"/>
  </w:style>
  <w:style w:type="paragraph" w:styleId="Fuzeile">
    <w:name w:val="footer"/>
    <w:basedOn w:val="Standard"/>
    <w:link w:val="FuzeileZchn"/>
    <w:uiPriority w:val="99"/>
    <w:unhideWhenUsed/>
    <w:rsid w:val="00E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B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D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E4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15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BA3"/>
  </w:style>
  <w:style w:type="paragraph" w:styleId="Fuzeile">
    <w:name w:val="footer"/>
    <w:basedOn w:val="Standard"/>
    <w:link w:val="FuzeileZchn"/>
    <w:uiPriority w:val="99"/>
    <w:unhideWhenUsed/>
    <w:rsid w:val="00EE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1B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D6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E4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Lueck</dc:creator>
  <cp:lastModifiedBy>Lehrer</cp:lastModifiedBy>
  <cp:revision>2</cp:revision>
  <dcterms:created xsi:type="dcterms:W3CDTF">2019-02-11T07:50:00Z</dcterms:created>
  <dcterms:modified xsi:type="dcterms:W3CDTF">2019-02-11T07:50:00Z</dcterms:modified>
</cp:coreProperties>
</file>